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u w:val="none" w:color="auto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u w:val="none" w:color="auto"/>
          <w:lang w:val="en-US" w:eastAsia="zh-CN"/>
        </w:rPr>
        <w:t>教育部2017年公布“双一流”建设      高校A类36所大学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u w:val="none" w:color="auto"/>
          <w:lang w:val="en-US" w:eastAsia="zh-CN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GZmYmU3OTZhMjhkZGRmNzM1Nzg5MzZlM2ViMzAifQ=="/>
  </w:docVars>
  <w:rsids>
    <w:rsidRoot w:val="00000000"/>
    <w:rsid w:val="5F8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2023-05-06T03:40:49Z</dcterms:created>
  <dc:creator>admin</dc:creator>
  <cp:lastModifiedBy>中铁远通人力资源公司</cp:lastModifiedBy>
  <dcterms:modified xsi:type="dcterms:W3CDTF">2023-05-06T03:40:59Z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9FD30B2F07664D839A47A52087DA6C65_12</vt:lpwstr>
  </property>
</Properties>
</file>